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793" w14:textId="5ACC4EA4" w:rsidR="00B81964" w:rsidRDefault="00650E10">
      <w:r>
        <w:rPr>
          <w:rFonts w:ascii="Arial" w:hAnsi="Arial" w:cs="Arial"/>
          <w:color w:val="000000"/>
          <w:sz w:val="22"/>
          <w:szCs w:val="22"/>
        </w:rPr>
        <w:t xml:space="preserve">Texas Female Artist of the Decade,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Bagwell, is a force to be reckoned with from her rousingly fun live performances to trailblazing recordings garnering her twelve #1 singles on Texas Country Radio and counting. With multiple Female Vocalist of the Year awards,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making waves with her music drawing national attention. People Magazine raves, “Bagwell increasingly finds her name being mentioned amongst country music truth-tellers such as Ashley McBryde and Morgan Wade.” Her latest album,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Corazón y Cabeza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(Heart and Head), has already spawned three #1 singles, “Trenches,” “Free Man,” and “Hello Highway," the latter inspiring her 2023 summer tour across 10 states and Mexico. Performing over 120 shows a year,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has shared the stage with a long list of esteemed artists, including Willie Nelson, Miranda Lambert, Robert Earl Keen, Kacey Musgraves, and Dwight Yoakam. Catch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Bagwell live on tour or listen to her latest podcast, ONLY VANS, at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" w:tgtFrame="_blank" w:tooltip="http://www.bribagwell.com" w:history="1">
        <w:r>
          <w:rPr>
            <w:rStyle w:val="Hyperlink"/>
            <w:rFonts w:ascii="Arial" w:hAnsi="Arial" w:cs="Arial"/>
            <w:color w:val="0078D7"/>
            <w:sz w:val="22"/>
            <w:szCs w:val="22"/>
          </w:rPr>
          <w:t>www.bribagwell.com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sectPr w:rsidR="00B8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10"/>
    <w:rsid w:val="00650E10"/>
    <w:rsid w:val="00B81964"/>
    <w:rsid w:val="00D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60276"/>
  <w15:chartTrackingRefBased/>
  <w15:docId w15:val="{C55A3477-C0A2-1045-AE00-5FB4A85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E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E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E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E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E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E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E1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50E10"/>
  </w:style>
  <w:style w:type="character" w:styleId="Hyperlink">
    <w:name w:val="Hyperlink"/>
    <w:basedOn w:val="DefaultParagraphFont"/>
    <w:uiPriority w:val="99"/>
    <w:semiHidden/>
    <w:unhideWhenUsed/>
    <w:rsid w:val="00650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bag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Teegardin</dc:creator>
  <cp:keywords/>
  <dc:description/>
  <cp:lastModifiedBy>Violet Teegardin</cp:lastModifiedBy>
  <cp:revision>1</cp:revision>
  <dcterms:created xsi:type="dcterms:W3CDTF">2024-03-27T22:35:00Z</dcterms:created>
  <dcterms:modified xsi:type="dcterms:W3CDTF">2024-03-27T22:35:00Z</dcterms:modified>
</cp:coreProperties>
</file>